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Personaldienstleistungen im Rahmen des Startchancen-Programms - Säule III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2026/04-204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Personaldienstleistungen im Rahmen des SCP - Säule 3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